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sz w:val="30"/>
          <w:szCs w:val="30"/>
        </w:rPr>
        <w:t xml:space="preserve">MODE OPÉRATOIRE — SOUS-SECTION 4</w:t>
      </w:r>
    </w:p>
    <w:p>
      <w:pPr>
        <w:spacing w:after="60"/>
      </w:pPr>
      <w:r>
        <w:rPr>
          <w:color w:val="5A6874"/>
          <w:sz w:val="18"/>
          <w:szCs w:val="18"/>
        </w:rPr>
        <w:t xml:space="preserve">Trame conforme à l'article R. 4412-145 du Code du travail — version du 03/09/2026 — offerte par ModeOp (modeop.lastparadox.dev)</w:t>
      </w:r>
    </w:p>
    <w:p>
      <w:pPr>
        <w:spacing w:after="220"/>
      </w:pPr>
      <w:r>
        <w:rPr>
          <w:color w:val="5A6874"/>
          <w:sz w:val="19"/>
          <w:szCs w:val="19"/>
        </w:rPr>
        <w:t xml:space="preserve">Mode d'emploi : complétez chaque rubrique pour VOTRE processus (un mode opératoire = un seul processus : matériau + technique + protections). Soumettez le document à l'avis du médecin du travail et, le cas échéant, du CSE (art. R. 4412-146), puis transmettez-le à l'inspection du travail, à la CARSAT et à l'OPPBTP de votre territoire (art. R. 4412-147) avant la première mise en œuvre.</w:t>
      </w:r>
    </w:p>
    <w:p>
      <w:pPr>
        <w:pStyle w:val="Heading2"/>
        <w:spacing w:after="120" w:before="260"/>
      </w:pPr>
      <w:r>
        <w:rPr>
          <w:b/>
          <w:bCs/>
          <w:color w:val="182430"/>
          <w:sz w:val="24"/>
          <w:szCs w:val="24"/>
        </w:rPr>
        <w:t xml:space="preserve">1. Renseignements généraux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Entreprise / SIRET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Activité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Encadrant technique SS4 (attestation en cours de validité)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Opérateur(s) formé(s) SS4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Chantier (adresse)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Date prévue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Organisme de mesurage accrédité COFRAC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</w:tbl>
    <w:p>
      <w:pPr>
        <w:pStyle w:val="Heading2"/>
        <w:spacing w:after="120" w:before="260"/>
      </w:pPr>
      <w:r>
        <w:rPr>
          <w:b/>
          <w:bCs/>
          <w:color w:val="182430"/>
          <w:sz w:val="24"/>
          <w:szCs w:val="24"/>
        </w:rPr>
        <w:t xml:space="preserve">2. Nature de l'intervention et matériaux concernés (R. 4412-145, 1° et 2°)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Matériau amianté concerné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État de conservation / quantité estimée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Technique employée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Environnement de travail (intérieur occupé, vide, extérieur…)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Repérage amiante disponible (rapport, DTA…)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</w:tbl>
    <w:p>
      <w:pPr>
        <w:pStyle w:val="Heading2"/>
        <w:spacing w:after="120" w:before="260"/>
      </w:pPr>
      <w:r>
        <w:rPr>
          <w:b/>
          <w:bCs/>
          <w:color w:val="182430"/>
          <w:sz w:val="24"/>
          <w:szCs w:val="24"/>
        </w:rPr>
        <w:t xml:space="preserve">3. Niveau d'empoussièrement du processus et contrôle de la VLEP (3°)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Valeur d'empoussièrement retenue (f/L)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Source de la valeur (mesurage COFRAC, fiche CARTO, évaluation a priori)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Niveau du processus (1, 2 ou 3)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Fréquence et modalités de contrôle du niveau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Modalités de respect de la VLEP (10 f/L sur 8 h)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</w:tbl>
    <w:p>
      <w:pPr>
        <w:spacing w:after="120"/>
      </w:pPr>
      <w:r>
        <w:rPr>
          <w:i/>
          <w:iCs/>
          <w:color w:val="5A6874"/>
          <w:sz w:val="18"/>
          <w:szCs w:val="18"/>
        </w:rPr>
        <w:t xml:space="preserve">Rappel : une valeur sans source (mesurage, base CARTO/Scolamiante, ou hypothèse défavorable à valider par mesurage) est le premier manquement relevé par les services de contrôle.</w:t>
      </w:r>
    </w:p>
    <w:p>
      <w:pPr>
        <w:pStyle w:val="Heading2"/>
        <w:spacing w:after="120" w:before="260"/>
      </w:pPr>
      <w:r>
        <w:rPr>
          <w:b/>
          <w:bCs/>
          <w:color w:val="182430"/>
          <w:sz w:val="24"/>
          <w:szCs w:val="24"/>
        </w:rPr>
        <w:t xml:space="preserve">4. Méthodes de travail et moyens techniques (4°)</w:t>
      </w:r>
    </w:p>
    <w:p>
      <w:pPr>
        <w:spacing w:after="120"/>
      </w:pPr>
      <w:r>
        <w:rPr>
          <w:color w:val="5A6874"/>
          <w:sz w:val="21"/>
          <w:szCs w:val="21"/>
        </w:rPr>
        <w:t xml:space="preserve">À compléter — décrire pas à pas : préparation de zone, balisage, protections collectives (film polyane, travail à l'humide, aspiration THE à la source, confinement le cas échéant), déroulé de l'intervention.</w:t>
      </w:r>
    </w:p>
    <w:p>
      <w:pPr>
        <w:pStyle w:val="Heading2"/>
        <w:spacing w:after="120" w:before="260"/>
      </w:pPr>
      <w:r>
        <w:rPr>
          <w:b/>
          <w:bCs/>
          <w:color w:val="182430"/>
          <w:sz w:val="24"/>
          <w:szCs w:val="24"/>
        </w:rPr>
        <w:t xml:space="preserve">5. Notices de poste (5° — R. 4412-39)</w:t>
      </w:r>
    </w:p>
    <w:p>
      <w:pPr>
        <w:spacing w:after="120"/>
      </w:pPr>
      <w:r>
        <w:rPr>
          <w:color w:val="5A6874"/>
          <w:sz w:val="21"/>
          <w:szCs w:val="21"/>
        </w:rPr>
        <w:t xml:space="preserve">À compléter — joindre une notice de poste par processus, remise à chaque opérateur : risques du poste et mesures de protection propres au poste.</w:t>
      </w:r>
    </w:p>
    <w:p>
      <w:pPr>
        <w:pStyle w:val="Heading2"/>
        <w:spacing w:after="120" w:before="260"/>
      </w:pPr>
      <w:r>
        <w:rPr>
          <w:b/>
          <w:bCs/>
          <w:color w:val="182430"/>
          <w:sz w:val="24"/>
          <w:szCs w:val="24"/>
        </w:rPr>
        <w:t xml:space="preserve">6. Équipements de protection et moyens pour les tiers (6°)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Protection respiratoire (type d'APR, adapté au niveau)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Vêtements (combinaison type 5, sous-vêtements à usage unique…)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Protection des autres personnes sur le lieu ou à proximité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</w:tbl>
    <w:p>
      <w:pPr>
        <w:pStyle w:val="Heading2"/>
        <w:spacing w:after="120" w:before="260"/>
      </w:pPr>
      <w:r>
        <w:rPr>
          <w:b/>
          <w:bCs/>
          <w:color w:val="182430"/>
          <w:sz w:val="24"/>
          <w:szCs w:val="24"/>
        </w:rPr>
        <w:t xml:space="preserve">7. Procédures de décontamination (7°)</w:t>
      </w:r>
    </w:p>
    <w:p>
      <w:pPr>
        <w:spacing w:after="120"/>
      </w:pPr>
      <w:r>
        <w:rPr>
          <w:color w:val="5A6874"/>
          <w:sz w:val="21"/>
          <w:szCs w:val="21"/>
        </w:rPr>
        <w:t xml:space="preserve">À compléter — habillage/déshabillage pas à pas, aspiration THE de la combinaison, ordre de retrait des EPI, douche d'hygiène, décontamination du matériel réutilisable.</w:t>
      </w:r>
    </w:p>
    <w:p>
      <w:pPr>
        <w:pStyle w:val="Heading2"/>
        <w:spacing w:after="120" w:before="260"/>
      </w:pPr>
      <w:r>
        <w:rPr>
          <w:b/>
          <w:bCs/>
          <w:color w:val="182430"/>
          <w:sz w:val="24"/>
          <w:szCs w:val="24"/>
        </w:rPr>
        <w:t xml:space="preserve">8. Gestion des déchets (8°)</w:t>
      </w:r>
    </w:p>
    <w:p>
      <w:pPr>
        <w:spacing w:after="120"/>
      </w:pPr>
      <w:r>
        <w:rPr>
          <w:color w:val="5A6874"/>
          <w:sz w:val="21"/>
          <w:szCs w:val="21"/>
        </w:rPr>
        <w:t xml:space="preserve">À compléter — conditionnement (double ensachage étanche, fermeture en col de cygne, étiquetage amiante), entreposage, traçabilité BSDA via Trackdéchets, filière d'élimination autorisée.</w:t>
      </w:r>
    </w:p>
    <w:p>
      <w:pPr>
        <w:pStyle w:val="Heading2"/>
        <w:spacing w:after="120" w:before="260"/>
      </w:pPr>
      <w:r>
        <w:rPr>
          <w:b/>
          <w:bCs/>
          <w:color w:val="182430"/>
          <w:sz w:val="24"/>
          <w:szCs w:val="24"/>
        </w:rPr>
        <w:t xml:space="preserve">9. Durées et temps de travail (9° — R. 4412-118 et R. 4412-119)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Durée des vacations sous protection respiratoire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Nombre de vacations et durée quotidienne totale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Adaptation aux conditions climatiques et contraintes physiques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</w:tbl>
    <w:p>
      <w:pPr>
        <w:pStyle w:val="Heading2"/>
        <w:spacing w:after="120" w:before="260"/>
      </w:pPr>
      <w:r>
        <w:rPr>
          <w:b/>
          <w:bCs/>
          <w:color w:val="182430"/>
          <w:sz w:val="24"/>
          <w:szCs w:val="24"/>
        </w:rPr>
        <w:t xml:space="preserve">Avis et transmission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Avis du médecin du travail (date)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Avis du CSE, le cas échéant (date)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Transmission inspection du travail / CARSAT / OPPBTP (dates)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  <w:tr>
        <w:tc>
          <w:tcPr>
            <w:tcW w:type="pct" w:w="36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shd w:fill="F2F4F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 xml:space="preserve">Annexé au document unique d'évaluation des risques le</w:t>
            </w:r>
          </w:p>
        </w:tc>
        <w:tc>
          <w:tcPr>
            <w:tcW w:type="pct" w:w="64%"/>
            <w:tcBorders>
              <w:top w:val="single" w:color="C8CDD2" w:sz="4"/>
              <w:left w:val="single" w:color="C8CDD2" w:sz="4"/>
              <w:bottom w:val="single" w:color="C8CDD2" w:sz="4"/>
              <w:right w:val="single" w:color="C8CDD2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5A6874"/>
                <w:sz w:val="21"/>
                <w:szCs w:val="21"/>
              </w:rPr>
              <w:t xml:space="preserve">À compléter</w:t>
            </w:r>
          </w:p>
        </w:tc>
      </w:tr>
    </w:tbl>
    <w:p>
      <w:pPr>
        <w:spacing w:after="160"/>
      </w:pPr>
      <w:r>
        <w:rPr>
          <w:sz w:val="21"/>
          <w:szCs w:val="21"/>
        </w:rPr>
        <w:t xml:space="preserve"/>
      </w:r>
    </w:p>
    <w:p>
      <w:pPr>
        <w:spacing w:after="120"/>
      </w:pPr>
      <w:r>
        <w:rPr>
          <w:color w:val="5A6874"/>
          <w:sz w:val="18"/>
          <w:szCs w:val="18"/>
        </w:rPr>
        <w:t xml:space="preserve">Cette trame liste les rubriques exigées — elle ne calcule ni votre niveau d'empoussièrement, ni vos EPI, ni vos vacations. Pour un document complet, pré-rempli et cohérent en 20 minutes : modeop.lastparadox.dev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color w:val="889096"/>
        <w:sz w:val="17"/>
        <w:szCs w:val="17"/>
      </w:rPr>
      <w:t xml:space="preserve">Trame gratuite ModeOp SS4 — art. R. 4412-145 du Code du travail — modeop.lastparadox.dev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2026-09-03T19:34:36.624Z</dcterms:created>
  <dcterms:modified xsi:type="dcterms:W3CDTF">2026-09-03T19:34:36.624Z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